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5EAE8">
      <w:pPr>
        <w:pStyle w:val="4"/>
        <w:rPr>
          <w:rFonts w:hint="eastAsia" w:ascii="方正小标宋简体" w:hAnsi="方正小标宋简体" w:eastAsia="方正小标宋简体" w:cs="方正小标宋简体"/>
          <w:color w:val="000000"/>
          <w:kern w:val="0"/>
          <w:sz w:val="44"/>
          <w:szCs w:val="44"/>
          <w:lang w:val="en-US" w:eastAsia="zh-CN"/>
        </w:rPr>
      </w:pPr>
      <w:bookmarkStart w:id="0" w:name="_Toc172809302"/>
      <w:r>
        <w:rPr>
          <w:rFonts w:hint="eastAsia" w:ascii="方正小标宋简体" w:hAnsi="方正小标宋简体" w:eastAsia="方正小标宋简体" w:cs="方正小标宋简体"/>
          <w:color w:val="000000"/>
          <w:kern w:val="0"/>
          <w:sz w:val="44"/>
          <w:szCs w:val="44"/>
          <w:lang w:val="en-US" w:eastAsia="zh-CN"/>
        </w:rPr>
        <w:t>松江社会福利院路面维修合同</w:t>
      </w:r>
      <w:bookmarkEnd w:id="0"/>
    </w:p>
    <w:p w14:paraId="70A9C676">
      <w:pPr>
        <w:keepNext w:val="0"/>
        <w:keepLines w:val="0"/>
        <w:pageBreakBefore w:val="0"/>
        <w:widowControl w:val="0"/>
        <w:kinsoku/>
        <w:wordWrap/>
        <w:overflowPunct/>
        <w:topLinePunct w:val="0"/>
        <w:autoSpaceDE/>
        <w:autoSpaceDN/>
        <w:bidi w:val="0"/>
        <w:adjustRightInd/>
        <w:snapToGrid/>
        <w:spacing w:line="480" w:lineRule="exact"/>
        <w:ind w:left="420" w:hanging="420" w:hangingChars="200"/>
        <w:textAlignment w:val="auto"/>
        <w:rPr>
          <w:rFonts w:ascii="Times New Roman" w:hAnsi="Times New Roman" w:eastAsia="宋体" w:cs="Times New Roman"/>
          <w:szCs w:val="24"/>
        </w:rPr>
      </w:pPr>
    </w:p>
    <w:p w14:paraId="3C2F978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Calibri" w:eastAsia="仿宋_GB2312" w:cs="Times New Roman"/>
          <w:sz w:val="28"/>
          <w:szCs w:val="28"/>
        </w:rPr>
      </w:pPr>
      <w:bookmarkStart w:id="1" w:name="_Hlk95396667"/>
      <w:bookmarkStart w:id="2" w:name="_Hlk89182375"/>
      <w:bookmarkStart w:id="3" w:name="_Hlk96330001"/>
      <w:bookmarkStart w:id="4" w:name="_Hlk82586927"/>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2CDD688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w:t>
      </w:r>
      <w:r>
        <w:rPr>
          <w:rFonts w:hint="eastAsia" w:ascii="仿宋_GB2312" w:hAnsi="Calibri" w:eastAsia="仿宋_GB2312" w:cs="Times New Roman"/>
          <w:sz w:val="28"/>
          <w:szCs w:val="28"/>
          <w:lang w:eastAsia="zh-CN"/>
        </w:rPr>
        <w:t>。</w:t>
      </w:r>
    </w:p>
    <w:p w14:paraId="7DDE97D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2 项目服务内容主要为：</w:t>
      </w:r>
    </w:p>
    <w:p w14:paraId="3D295F2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主要是对原有路面拆除并恢复，具体施工内容由投标方现场勘察后，根据实际情况出具相应施工方案为准，维修内容如下：</w:t>
      </w:r>
    </w:p>
    <w:tbl>
      <w:tblPr>
        <w:tblStyle w:val="6"/>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289"/>
        <w:gridCol w:w="5266"/>
      </w:tblGrid>
      <w:tr w14:paraId="2756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7" w:type="dxa"/>
            <w:vAlign w:val="center"/>
          </w:tcPr>
          <w:p w14:paraId="62087FD6">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289" w:type="dxa"/>
            <w:vAlign w:val="center"/>
          </w:tcPr>
          <w:p w14:paraId="4262F91E">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部位</w:t>
            </w:r>
          </w:p>
        </w:tc>
        <w:tc>
          <w:tcPr>
            <w:tcW w:w="5266" w:type="dxa"/>
            <w:vAlign w:val="center"/>
          </w:tcPr>
          <w:p w14:paraId="7D0C8716">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维修内容</w:t>
            </w:r>
          </w:p>
        </w:tc>
      </w:tr>
      <w:tr w14:paraId="35F5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07" w:type="dxa"/>
            <w:vAlign w:val="center"/>
          </w:tcPr>
          <w:p w14:paraId="1F003EF2">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bookmarkStart w:id="5" w:name="OLE_LINK3" w:colFirst="4" w:colLast="4"/>
            <w:r>
              <w:rPr>
                <w:rFonts w:hint="eastAsia" w:ascii="仿宋_GB2312" w:hAnsi="仿宋_GB2312" w:eastAsia="仿宋_GB2312" w:cs="仿宋_GB2312"/>
                <w:sz w:val="24"/>
                <w:szCs w:val="24"/>
                <w:vertAlign w:val="baseline"/>
                <w:lang w:val="en-US" w:eastAsia="zh-CN"/>
              </w:rPr>
              <w:t>1</w:t>
            </w:r>
          </w:p>
        </w:tc>
        <w:tc>
          <w:tcPr>
            <w:tcW w:w="2289" w:type="dxa"/>
            <w:vAlign w:val="center"/>
          </w:tcPr>
          <w:p w14:paraId="07FAB81C">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bookmarkStart w:id="6" w:name="OLE_LINK9"/>
            <w:r>
              <w:rPr>
                <w:rFonts w:hint="eastAsia" w:ascii="仿宋_GB2312" w:hAnsi="仿宋_GB2312" w:eastAsia="仿宋_GB2312" w:cs="仿宋_GB2312"/>
                <w:sz w:val="24"/>
                <w:szCs w:val="24"/>
                <w:vertAlign w:val="baseline"/>
                <w:lang w:val="en-US" w:eastAsia="zh-CN"/>
              </w:rPr>
              <w:t>1号楼与2号楼连廊处地面</w:t>
            </w:r>
            <w:bookmarkEnd w:id="6"/>
          </w:p>
        </w:tc>
        <w:tc>
          <w:tcPr>
            <w:tcW w:w="5266" w:type="dxa"/>
            <w:vAlign w:val="center"/>
          </w:tcPr>
          <w:p w14:paraId="19CC8C50">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拆除沥青混凝土面层、拆除混凝土面层、拆除三渣基层、拆除石材地坪、钢筋混凝土基层、铺贴大理石 、新做沥青混凝土路面，垃圾外运等。</w:t>
            </w:r>
          </w:p>
        </w:tc>
      </w:tr>
      <w:bookmarkEnd w:id="5"/>
      <w:tr w14:paraId="66B1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07" w:type="dxa"/>
            <w:vAlign w:val="center"/>
          </w:tcPr>
          <w:p w14:paraId="266E82B0">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bookmarkStart w:id="7" w:name="OLE_LINK8" w:colFirst="1" w:colLast="1"/>
            <w:r>
              <w:rPr>
                <w:rFonts w:hint="eastAsia" w:ascii="仿宋_GB2312" w:hAnsi="仿宋_GB2312" w:eastAsia="仿宋_GB2312" w:cs="仿宋_GB2312"/>
                <w:sz w:val="24"/>
                <w:szCs w:val="24"/>
                <w:vertAlign w:val="baseline"/>
                <w:lang w:val="en-US" w:eastAsia="zh-CN"/>
              </w:rPr>
              <w:t>2</w:t>
            </w:r>
          </w:p>
        </w:tc>
        <w:tc>
          <w:tcPr>
            <w:tcW w:w="2289" w:type="dxa"/>
            <w:vAlign w:val="center"/>
          </w:tcPr>
          <w:p w14:paraId="2C95D205">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bookmarkStart w:id="8" w:name="OLE_LINK6"/>
            <w:r>
              <w:rPr>
                <w:rFonts w:hint="eastAsia" w:ascii="仿宋_GB2312" w:hAnsi="仿宋_GB2312" w:eastAsia="仿宋_GB2312" w:cs="仿宋_GB2312"/>
                <w:sz w:val="24"/>
                <w:szCs w:val="24"/>
                <w:vertAlign w:val="baseline"/>
                <w:lang w:val="en-US" w:eastAsia="zh-CN"/>
              </w:rPr>
              <w:t>多功能厅北侧与2号楼处地面</w:t>
            </w:r>
            <w:bookmarkEnd w:id="8"/>
          </w:p>
        </w:tc>
        <w:tc>
          <w:tcPr>
            <w:tcW w:w="5266" w:type="dxa"/>
            <w:vAlign w:val="center"/>
          </w:tcPr>
          <w:p w14:paraId="5C6A4555">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拆除沥青混凝土面层、拆除混凝土面层，新筑钢筋混凝土基层、新做沥青混凝土路面</w:t>
            </w:r>
            <w:bookmarkStart w:id="9" w:name="OLE_LINK4"/>
            <w:r>
              <w:rPr>
                <w:rFonts w:hint="eastAsia" w:ascii="仿宋_GB2312" w:hAnsi="仿宋_GB2312" w:eastAsia="仿宋_GB2312" w:cs="仿宋_GB2312"/>
                <w:sz w:val="24"/>
                <w:szCs w:val="24"/>
                <w:vertAlign w:val="baseline"/>
                <w:lang w:val="en-US" w:eastAsia="zh-CN"/>
              </w:rPr>
              <w:t>，垃圾外运等。</w:t>
            </w:r>
            <w:bookmarkEnd w:id="9"/>
          </w:p>
        </w:tc>
      </w:tr>
      <w:bookmarkEnd w:id="7"/>
      <w:tr w14:paraId="019B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07" w:type="dxa"/>
            <w:vAlign w:val="center"/>
          </w:tcPr>
          <w:p w14:paraId="2F55CD45">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bookmarkStart w:id="10" w:name="OLE_LINK5" w:colFirst="4" w:colLast="4"/>
            <w:r>
              <w:rPr>
                <w:rFonts w:hint="eastAsia" w:ascii="仿宋_GB2312" w:hAnsi="仿宋_GB2312" w:eastAsia="仿宋_GB2312" w:cs="仿宋_GB2312"/>
                <w:sz w:val="24"/>
                <w:szCs w:val="24"/>
                <w:vertAlign w:val="baseline"/>
                <w:lang w:val="en-US" w:eastAsia="zh-CN"/>
              </w:rPr>
              <w:t>3</w:t>
            </w:r>
          </w:p>
        </w:tc>
        <w:tc>
          <w:tcPr>
            <w:tcW w:w="2289" w:type="dxa"/>
            <w:vAlign w:val="center"/>
          </w:tcPr>
          <w:p w14:paraId="4FBC74D5">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bookmarkStart w:id="11" w:name="OLE_LINK10"/>
            <w:r>
              <w:rPr>
                <w:rFonts w:hint="eastAsia" w:ascii="仿宋_GB2312" w:hAnsi="仿宋_GB2312" w:eastAsia="仿宋_GB2312" w:cs="仿宋_GB2312"/>
                <w:sz w:val="24"/>
                <w:szCs w:val="24"/>
                <w:vertAlign w:val="baseline"/>
                <w:lang w:val="en-US" w:eastAsia="zh-CN"/>
              </w:rPr>
              <w:t>儿童部北门通道</w:t>
            </w:r>
            <w:bookmarkEnd w:id="11"/>
          </w:p>
        </w:tc>
        <w:tc>
          <w:tcPr>
            <w:tcW w:w="5266" w:type="dxa"/>
            <w:vAlign w:val="center"/>
          </w:tcPr>
          <w:p w14:paraId="0D658DD6">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拆除大理石、清理大理石背面水泥、浇混凝土基层、铺设大理石。</w:t>
            </w:r>
          </w:p>
        </w:tc>
      </w:tr>
      <w:bookmarkEnd w:id="10"/>
      <w:tr w14:paraId="324A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7" w:type="dxa"/>
            <w:vAlign w:val="center"/>
          </w:tcPr>
          <w:p w14:paraId="6ECFF98C">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289" w:type="dxa"/>
            <w:vAlign w:val="center"/>
          </w:tcPr>
          <w:p w14:paraId="17AEBAA1">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bookmarkStart w:id="12" w:name="OLE_LINK11"/>
            <w:r>
              <w:rPr>
                <w:rFonts w:hint="eastAsia" w:ascii="仿宋_GB2312" w:hAnsi="仿宋_GB2312" w:eastAsia="仿宋_GB2312" w:cs="仿宋_GB2312"/>
                <w:sz w:val="24"/>
                <w:szCs w:val="24"/>
                <w:vertAlign w:val="baseline"/>
                <w:lang w:val="en-US" w:eastAsia="zh-CN"/>
              </w:rPr>
              <w:t>2号楼西侧通道</w:t>
            </w:r>
            <w:bookmarkEnd w:id="12"/>
          </w:p>
        </w:tc>
        <w:tc>
          <w:tcPr>
            <w:tcW w:w="5266" w:type="dxa"/>
            <w:vAlign w:val="center"/>
          </w:tcPr>
          <w:p w14:paraId="2ED9FE6C">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拆除大理石、清理大理石背面水泥、浇混凝土基层、铺设大理石。</w:t>
            </w:r>
          </w:p>
        </w:tc>
      </w:tr>
      <w:tr w14:paraId="7BC3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07" w:type="dxa"/>
            <w:vAlign w:val="center"/>
          </w:tcPr>
          <w:p w14:paraId="5AEA675D">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289" w:type="dxa"/>
            <w:vAlign w:val="center"/>
          </w:tcPr>
          <w:p w14:paraId="5FA88F96">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bookmarkStart w:id="13" w:name="OLE_LINK13"/>
            <w:r>
              <w:rPr>
                <w:rFonts w:hint="eastAsia" w:ascii="仿宋_GB2312" w:hAnsi="仿宋_GB2312" w:eastAsia="仿宋_GB2312" w:cs="仿宋_GB2312"/>
                <w:sz w:val="24"/>
                <w:szCs w:val="24"/>
                <w:vertAlign w:val="baseline"/>
                <w:lang w:val="en-US" w:eastAsia="zh-CN"/>
              </w:rPr>
              <w:t>多功能厅西门通道</w:t>
            </w:r>
            <w:bookmarkEnd w:id="13"/>
          </w:p>
        </w:tc>
        <w:tc>
          <w:tcPr>
            <w:tcW w:w="5266" w:type="dxa"/>
            <w:vAlign w:val="center"/>
          </w:tcPr>
          <w:p w14:paraId="2B357E51">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新做沥青混凝土路面</w:t>
            </w:r>
          </w:p>
        </w:tc>
      </w:tr>
      <w:tr w14:paraId="78F4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07" w:type="dxa"/>
            <w:vAlign w:val="center"/>
          </w:tcPr>
          <w:p w14:paraId="7E9A81A4">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289" w:type="dxa"/>
            <w:vAlign w:val="center"/>
          </w:tcPr>
          <w:p w14:paraId="519AB12A">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bookmarkStart w:id="14" w:name="OLE_LINK12"/>
            <w:r>
              <w:rPr>
                <w:rFonts w:hint="eastAsia" w:ascii="仿宋_GB2312" w:hAnsi="仿宋_GB2312" w:eastAsia="仿宋_GB2312" w:cs="仿宋_GB2312"/>
                <w:sz w:val="24"/>
                <w:szCs w:val="24"/>
                <w:vertAlign w:val="baseline"/>
                <w:lang w:val="en-US" w:eastAsia="zh-CN"/>
              </w:rPr>
              <w:t>1号楼中央通道</w:t>
            </w:r>
            <w:bookmarkEnd w:id="14"/>
          </w:p>
        </w:tc>
        <w:tc>
          <w:tcPr>
            <w:tcW w:w="5266" w:type="dxa"/>
            <w:vAlign w:val="center"/>
          </w:tcPr>
          <w:p w14:paraId="2BF7C6D5">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拆除大理石、清理大理石背面水泥、浇混凝土基层、铺设大理石。</w:t>
            </w:r>
          </w:p>
        </w:tc>
      </w:tr>
    </w:tbl>
    <w:p w14:paraId="7A17171C">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62DE7638">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B6A35A9">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元整（大写：</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04995CC7">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2.2 服务地点：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松江区龙腾路1155号</w:t>
      </w:r>
      <w:r>
        <w:rPr>
          <w:rFonts w:hint="eastAsia" w:ascii="仿宋_GB2312" w:hAnsi="Calibri" w:eastAsia="仿宋_GB2312" w:cs="Times New Roman"/>
          <w:sz w:val="28"/>
          <w:szCs w:val="28"/>
          <w:u w:val="single"/>
        </w:rPr>
        <w:t xml:space="preserve"> </w:t>
      </w:r>
    </w:p>
    <w:p w14:paraId="0A89039B">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 服务期限</w:t>
      </w:r>
    </w:p>
    <w:p w14:paraId="455C0575">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本服务的服务期限：</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签订合同后60天完工</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764A4386">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57AE67DB">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781BC6D9">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服务完成后一次性验收</w:t>
      </w:r>
    </w:p>
    <w:p w14:paraId="7B2A204E">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5.2 验收标准：</w:t>
      </w:r>
    </w:p>
    <w:p w14:paraId="0E9B4C06">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路面平整，无明显坑洼、裂缝、松散、拥包等缺陷；</w:t>
      </w:r>
    </w:p>
    <w:p w14:paraId="0C87B346">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2.修复后的路面应与周边原有路面衔接平顺，无错台、跳车现象；</w:t>
      </w:r>
    </w:p>
    <w:p w14:paraId="63B3781F">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3.沥青混合料摊铺均匀，无离析现象；</w:t>
      </w:r>
    </w:p>
    <w:p w14:paraId="3BC76341">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4.路面横坡度应符合设计要求，排水顺畅，无积水现象；</w:t>
      </w:r>
    </w:p>
    <w:p w14:paraId="4AE3F031">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5.路缘石、边沟等附属设施应整齐、顺直，无损坏，与路面衔接紧密，无明显缝隙。</w:t>
      </w:r>
    </w:p>
    <w:p w14:paraId="4FC057F5">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5.3 服务完成或达到合同约定的验收条件后，甲方应及时根据合同的约定进行验收。由双方按照本合同的约定完成服务验收。甲方有权委托第三方检测机构进行验收，对此乙方应当配合。</w:t>
      </w:r>
    </w:p>
    <w:p w14:paraId="20FB29D2">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5.4 如果属于乙方原因致使未能通过验收，乙方应当排除问题，并自行承担相关费用，直至服务完全符合验收标准。</w:t>
      </w:r>
    </w:p>
    <w:p w14:paraId="5E8032A1">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5.6 甲方根据合同的规定对服务验收合格后，甲方收取发票并签署验收意见。</w:t>
      </w:r>
    </w:p>
    <w:p w14:paraId="1F516159">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6.1 如果甲方或乙方提供的内容属于保密的，应签订保密协议，甲乙双方均有保密义务。</w:t>
      </w:r>
    </w:p>
    <w:p w14:paraId="5C1FFD5E">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2DB78168">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7.2 本合同款项按照以下方式支付：</w:t>
      </w:r>
    </w:p>
    <w:p w14:paraId="2F033310">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项目验收合格后采用第三方审价对项目进行结算,出具审价报告后一次性支付工程款。</w:t>
      </w:r>
    </w:p>
    <w:p w14:paraId="65EFB8B2">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p>
    <w:p w14:paraId="24B3F26A">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由于乙方服务质量或延误服务的原因，使甲方有关或设备损坏造成经济损失的，甲方有权要求乙方进行经济赔偿。</w:t>
      </w:r>
    </w:p>
    <w:p w14:paraId="6D4F2513">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8.4 甲方在合同规定的服务期限内有义务为乙方创造服务工作便利，并提供适合的工作环境，协助乙方完成服务工作。</w:t>
      </w:r>
    </w:p>
    <w:p w14:paraId="104E4D8E">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8.5 如果甲方因工作需要对原有服务内容进行调整，应有义务并通过有效的方式及时通知乙方，涉及合同服务范围调整的，应与乙方协商解决。</w:t>
      </w:r>
    </w:p>
    <w:p w14:paraId="11D191EB">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7D22AEEA">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9.2 乙方为了更好地进行服务，满足甲方对服务质量的要求，有权利要求甲方提供合适的工作环境和便利。在进行故障处理紧急服务时，可以要求甲方进行合作配合。</w:t>
      </w:r>
    </w:p>
    <w:p w14:paraId="369D4111">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9.3 如果由于甲方的责任而造成服务延误或不能达到服务质量的，乙方不承担违约责任。</w:t>
      </w:r>
    </w:p>
    <w:p w14:paraId="49D5FEF8">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9.4 乙方保证在服务中，未经甲方许可不得使用含有可以自动终止或妨碍系统运作的软件和硬件，否则，乙方应承担赔偿责任。</w:t>
      </w:r>
    </w:p>
    <w:p w14:paraId="31A3491C">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乙方在履行服务时，发现存在潜在缺陷或故障时，有义务及时与甲方联系，共同落实防范措施，保证正常运行。</w:t>
      </w:r>
    </w:p>
    <w:p w14:paraId="603888EB">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9.6 如果乙方确实需要第三方合作才能完成合同规定的服务内容和服务质量的，应事先征得甲方的同意，并由乙方承担第三方提供服务的费用。</w:t>
      </w:r>
    </w:p>
    <w:p w14:paraId="73E97FBA">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5FD5F309">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甲方有权根据质量检测部门出具的检验证书向乙方提出索赔。</w:t>
      </w:r>
    </w:p>
    <w:p w14:paraId="2DD992D6">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0EE2EB2B">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23A2B705">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14.1验收合格之日起一年为质保期</w:t>
      </w:r>
      <w:r>
        <w:rPr>
          <w:rFonts w:hint="eastAsia" w:ascii="仿宋_GB2312" w:hAnsi="Calibri" w:eastAsia="仿宋_GB2312" w:cs="Times New Roman"/>
          <w:sz w:val="28"/>
          <w:szCs w:val="28"/>
          <w:lang w:val="en-US" w:eastAsia="zh-CN"/>
        </w:rPr>
        <w:t>。</w:t>
      </w:r>
    </w:p>
    <w:p w14:paraId="5222F78B">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15.1 甲乙双方如在履行合同中发生纠纷，首先应友好协商，协商不成，甲乙双方均应向</w:t>
      </w:r>
      <w:r>
        <w:rPr>
          <w:rFonts w:hint="eastAsia" w:ascii="仿宋_GB2312" w:hAnsi="Calibri" w:eastAsia="仿宋_GB2312" w:cs="Times New Roman"/>
          <w:sz w:val="28"/>
          <w:szCs w:val="28"/>
          <w:lang w:val="en-US" w:eastAsia="zh-CN"/>
        </w:rPr>
        <w:t>松江区</w:t>
      </w:r>
      <w:bookmarkStart w:id="16" w:name="_GoBack"/>
      <w:bookmarkEnd w:id="16"/>
      <w:r>
        <w:rPr>
          <w:rFonts w:hint="eastAsia" w:ascii="仿宋_GB2312" w:hAnsi="Calibri" w:eastAsia="仿宋_GB2312" w:cs="Times New Roman"/>
          <w:sz w:val="28"/>
          <w:szCs w:val="28"/>
          <w:lang w:val="en-US" w:eastAsia="zh-CN"/>
        </w:rPr>
        <w:t>人民</w:t>
      </w:r>
      <w:r>
        <w:rPr>
          <w:rFonts w:hint="eastAsia" w:ascii="仿宋_GB2312" w:hAnsi="Calibri" w:eastAsia="仿宋_GB2312" w:cs="Times New Roman"/>
          <w:sz w:val="28"/>
          <w:szCs w:val="28"/>
        </w:rPr>
        <w:t>法院起诉。</w:t>
      </w:r>
    </w:p>
    <w:p w14:paraId="0C971E51">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2F8ABEE1">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78C98C43">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18.1 除甲方事先书面同意外，乙方不得转让和分包其应履行的合同义务。</w:t>
      </w:r>
    </w:p>
    <w:p w14:paraId="24E69218">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肆</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份，甲</w:t>
      </w:r>
      <w:r>
        <w:rPr>
          <w:rFonts w:hint="eastAsia" w:ascii="仿宋_GB2312" w:hAnsi="Calibri" w:eastAsia="仿宋_GB2312" w:cs="Times New Roman"/>
          <w:sz w:val="28"/>
          <w:szCs w:val="28"/>
          <w:lang w:val="en-US" w:eastAsia="zh-CN"/>
        </w:rPr>
        <w:t>方执叁份</w:t>
      </w:r>
      <w:r>
        <w:rPr>
          <w:rFonts w:hint="eastAsia" w:ascii="仿宋_GB2312" w:hAnsi="Calibri" w:eastAsia="仿宋_GB2312" w:cs="Times New Roman"/>
          <w:sz w:val="28"/>
          <w:szCs w:val="28"/>
        </w:rPr>
        <w:t>乙方执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w:t>
      </w:r>
    </w:p>
    <w:p w14:paraId="2143AFB5">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3CB86F5F">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20.1 本合同附件包括：招标(采购)文件、投标（响应）文件、</w:t>
      </w:r>
      <w:r>
        <w:rPr>
          <w:rFonts w:hint="eastAsia" w:ascii="仿宋_GB2312" w:hAnsi="Calibri" w:eastAsia="仿宋_GB2312" w:cs="Times New Roman"/>
          <w:sz w:val="28"/>
          <w:szCs w:val="28"/>
          <w:lang w:val="en-US" w:eastAsia="zh-CN"/>
        </w:rPr>
        <w:t>供应商廉政承诺书、安全协议。</w:t>
      </w:r>
    </w:p>
    <w:p w14:paraId="0A956755">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keepNext w:val="0"/>
        <w:keepLines w:val="0"/>
        <w:pageBreakBefore w:val="0"/>
        <w:widowControl w:val="0"/>
        <w:kinsoku/>
        <w:wordWrap/>
        <w:overflowPunct/>
        <w:topLinePunct w:val="0"/>
        <w:autoSpaceDE/>
        <w:autoSpaceDN/>
        <w:bidi w:val="0"/>
        <w:snapToGrid/>
        <w:spacing w:line="48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798824E1">
      <w:pPr>
        <w:keepNext w:val="0"/>
        <w:keepLines w:val="0"/>
        <w:pageBreakBefore w:val="0"/>
        <w:widowControl w:val="0"/>
        <w:kinsoku/>
        <w:wordWrap/>
        <w:overflowPunct/>
        <w:topLinePunct w:val="0"/>
        <w:autoSpaceDE/>
        <w:autoSpaceDN/>
        <w:bidi w:val="0"/>
        <w:snapToGrid/>
        <w:spacing w:line="48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p>
    <w:bookmarkEnd w:id="1"/>
    <w:bookmarkEnd w:id="2"/>
    <w:bookmarkEnd w:id="3"/>
    <w:bookmarkEnd w:id="4"/>
    <w:p w14:paraId="3FEBA5E5">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14:paraId="645F54F5">
      <w:pPr>
        <w:spacing w:line="520" w:lineRule="exact"/>
        <w:ind w:firstLine="560" w:firstLineChars="200"/>
        <w:rPr>
          <w:rFonts w:hint="eastAsia" w:ascii="宋体" w:hAnsi="宋体" w:eastAsia="宋体" w:cs="宋体"/>
          <w:color w:val="000000"/>
          <w:sz w:val="28"/>
          <w:szCs w:val="28"/>
        </w:rPr>
      </w:pP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5"/>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rPr>
              <w:t>甲方：</w:t>
            </w:r>
            <w:r>
              <w:rPr>
                <w:rFonts w:hint="eastAsia" w:ascii="仿宋_GB2312" w:hAnsi="Calibri" w:eastAsia="仿宋_GB2312" w:cs="Times New Roman"/>
                <w:sz w:val="28"/>
                <w:szCs w:val="28"/>
                <w:lang w:val="en-US" w:eastAsia="zh-CN"/>
              </w:rPr>
              <w:t>上海市松江社会福利院</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w:t>
            </w:r>
          </w:p>
        </w:tc>
      </w:tr>
      <w:tr w14:paraId="28A4F732">
        <w:tblPrEx>
          <w:tblCellMar>
            <w:top w:w="0" w:type="dxa"/>
            <w:left w:w="108" w:type="dxa"/>
            <w:bottom w:w="0" w:type="dxa"/>
            <w:right w:w="108" w:type="dxa"/>
          </w:tblCellMar>
        </w:tblPrEx>
        <w:trPr>
          <w:trHeight w:val="1334"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8935" w:type="dxa"/>
            <w:gridSpan w:val="2"/>
            <w:tcMar>
              <w:top w:w="15" w:type="dxa"/>
              <w:left w:w="15" w:type="dxa"/>
              <w:bottom w:w="15" w:type="dxa"/>
              <w:right w:w="15" w:type="dxa"/>
            </w:tcMar>
            <w:vAlign w:val="center"/>
          </w:tcPr>
          <w:p w14:paraId="70E69B9D">
            <w:pPr>
              <w:spacing w:line="520" w:lineRule="exact"/>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rPr>
              <w:t>合同签订地点：</w:t>
            </w:r>
            <w:r>
              <w:rPr>
                <w:rFonts w:hint="eastAsia" w:ascii="仿宋_GB2312" w:hAnsi="Calibri" w:eastAsia="仿宋_GB2312" w:cs="Times New Roman"/>
                <w:sz w:val="28"/>
                <w:szCs w:val="28"/>
                <w:lang w:val="en-US" w:eastAsia="zh-CN"/>
              </w:rPr>
              <w:t>松江区龙腾路1155号</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r>
    </w:tbl>
    <w:p w14:paraId="0D79D124">
      <w:pPr>
        <w:widowControl/>
        <w:jc w:val="left"/>
        <w:rPr>
          <w:rFonts w:hint="eastAsia" w:ascii="仿宋_GB2312" w:hAnsi="宋体" w:eastAsia="仿宋_GB2312" w:cs="宋体"/>
          <w:kern w:val="0"/>
          <w:sz w:val="24"/>
        </w:rPr>
      </w:pPr>
    </w:p>
    <w:p w14:paraId="6FFBC096">
      <w:pPr>
        <w:widowControl/>
        <w:jc w:val="left"/>
        <w:rPr>
          <w:rFonts w:hint="eastAsia" w:ascii="仿宋_GB2312" w:hAnsi="宋体" w:eastAsia="仿宋_GB2312" w:cs="宋体"/>
          <w:kern w:val="0"/>
          <w:sz w:val="24"/>
        </w:rPr>
      </w:pPr>
      <w:r>
        <w:rPr>
          <w:rFonts w:ascii="仿宋_GB2312" w:hAnsi="宋体" w:eastAsia="仿宋_GB2312" w:cs="宋体"/>
          <w:kern w:val="0"/>
          <w:sz w:val="24"/>
        </w:rPr>
        <w:br w:type="page"/>
      </w:r>
    </w:p>
    <w:p w14:paraId="5503FBDC">
      <w:pPr>
        <w:pStyle w:val="4"/>
        <w:rPr>
          <w:rFonts w:hint="eastAsia"/>
          <w:sz w:val="36"/>
          <w:szCs w:val="36"/>
        </w:rPr>
      </w:pPr>
      <w:bookmarkStart w:id="15" w:name="_Toc172809303"/>
      <w:r>
        <w:rPr>
          <w:rFonts w:hint="eastAsia"/>
          <w:sz w:val="36"/>
          <w:szCs w:val="36"/>
        </w:rPr>
        <w:t>供应商廉政承诺书</w:t>
      </w:r>
      <w:bookmarkEnd w:id="15"/>
    </w:p>
    <w:p w14:paraId="2166817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p>
    <w:p w14:paraId="2D86E0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承诺单位：</w:t>
      </w:r>
      <w:r>
        <w:rPr>
          <w:rFonts w:hint="eastAsia" w:ascii="仿宋" w:hAnsi="仿宋" w:eastAsia="仿宋" w:cs="仿宋"/>
          <w:sz w:val="28"/>
          <w:szCs w:val="28"/>
          <w:u w:val="single"/>
        </w:rPr>
        <w:t xml:space="preserve">                                </w:t>
      </w:r>
    </w:p>
    <w:p w14:paraId="2A5E90E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服务项目：</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松江社会福利院路面维修</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08EA771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购买单位：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上海市松江社会福利院   </w:t>
      </w:r>
      <w:r>
        <w:rPr>
          <w:rFonts w:hint="eastAsia" w:ascii="仿宋" w:hAnsi="仿宋" w:eastAsia="仿宋" w:cs="仿宋"/>
          <w:sz w:val="28"/>
          <w:szCs w:val="28"/>
          <w:u w:val="single"/>
        </w:rPr>
        <w:t xml:space="preserve">    </w:t>
      </w:r>
    </w:p>
    <w:p w14:paraId="3D3A865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为切实推进政府购买服务工作的规范公正，净化政府购买服务领域的良好风气，防止发生各种谋取不正当利益的违纪违法行为，特签署本廉政承诺书，作出以下承诺：</w:t>
      </w:r>
    </w:p>
    <w:p w14:paraId="0940CCD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1.严格遵守党和国家有关法律法规及廉政规定；</w:t>
      </w:r>
    </w:p>
    <w:p w14:paraId="16000D8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2.严格按照投标（响应）文件签订服务合同并执行，自觉依照合同规定办事，不将合同进行转包或者非法分包；</w:t>
      </w:r>
    </w:p>
    <w:p w14:paraId="1B13ECA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3.不以任何理由向购买单位及其工作人员提供可能影响公正执行公务的宴请或者旅游、健身、娱乐等活动安排，赠送可能影响公正执行公务的礼品、礼金、消费卡等财物；</w:t>
      </w:r>
    </w:p>
    <w:p w14:paraId="666B939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4.不与购买单位的工作人员发生借贷、租赁或合伙经营等个人经济关系；</w:t>
      </w:r>
    </w:p>
    <w:p w14:paraId="480B0E6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5.不以任何名义向购买单位及其工作人员输送利益；</w:t>
      </w:r>
    </w:p>
    <w:p w14:paraId="6B33945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6.不与购买单位的相关人员在工作时间之外有非业务上的接触；</w:t>
      </w:r>
    </w:p>
    <w:p w14:paraId="34CF16D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7.需与购买单位工作人员面对面洽谈与本服务项目相关事宜的，不在购买单位工作场所或服务项目相关场所之外的地点进行；</w:t>
      </w:r>
    </w:p>
    <w:p w14:paraId="07ACF1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8.自觉接受、积极配合购买单位对服务项目的履约验收工作，及时确认履约验收结果，及时整改履约过程中可能存在的问题；</w:t>
      </w:r>
    </w:p>
    <w:p w14:paraId="10CA028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9.建立健全本单位各项廉政制度，</w:t>
      </w:r>
      <w:r>
        <w:rPr>
          <w:rFonts w:hint="eastAsia" w:ascii="仿宋_GB2312" w:hAnsi="仿宋_GB2312" w:eastAsia="仿宋_GB2312" w:cs="仿宋_GB2312"/>
          <w:kern w:val="0"/>
          <w:sz w:val="28"/>
          <w:szCs w:val="28"/>
        </w:rPr>
        <w:t>严明工作纪律，并予以严格执行；</w:t>
      </w:r>
    </w:p>
    <w:p w14:paraId="30D0421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10.其他需要承诺的事项：</w:t>
      </w:r>
    </w:p>
    <w:p w14:paraId="40857E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65C708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本单位将严格履行上述承诺内容，愿就上述承诺自觉接受并积极配合各相关职能部门的监督检查，如我单位及其工作人员违反本承诺书规定的，愿按相关法律法规规定及管理权限接受相应处理。</w:t>
      </w:r>
    </w:p>
    <w:p w14:paraId="1FA66A5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14:paraId="4E4A49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承诺单位（盖章）：       代表（签字）：                    </w:t>
      </w:r>
    </w:p>
    <w:p w14:paraId="1300C7AE">
      <w:pPr>
        <w:keepNext w:val="0"/>
        <w:keepLines w:val="0"/>
        <w:pageBreakBefore w:val="0"/>
        <w:widowControl w:val="0"/>
        <w:kinsoku/>
        <w:wordWrap/>
        <w:overflowPunct/>
        <w:topLinePunct w:val="0"/>
        <w:autoSpaceDE/>
        <w:autoSpaceDN/>
        <w:bidi w:val="0"/>
        <w:adjustRightInd/>
        <w:snapToGrid/>
        <w:spacing w:line="400" w:lineRule="exact"/>
        <w:ind w:firstLine="3640" w:firstLineChars="1300"/>
        <w:textAlignment w:val="auto"/>
        <w:rPr>
          <w:rFonts w:hint="eastAsia" w:ascii="仿宋_GB2312" w:hAnsi="仿宋_GB2312" w:eastAsia="仿宋_GB2312" w:cs="仿宋_GB2312"/>
          <w:sz w:val="28"/>
          <w:szCs w:val="28"/>
        </w:rPr>
      </w:pPr>
    </w:p>
    <w:p w14:paraId="03F90275">
      <w:pPr>
        <w:keepNext w:val="0"/>
        <w:keepLines w:val="0"/>
        <w:pageBreakBefore w:val="0"/>
        <w:widowControl w:val="0"/>
        <w:kinsoku/>
        <w:wordWrap/>
        <w:overflowPunct/>
        <w:topLinePunct w:val="0"/>
        <w:autoSpaceDE/>
        <w:autoSpaceDN/>
        <w:bidi w:val="0"/>
        <w:adjustRightInd/>
        <w:snapToGrid/>
        <w:spacing w:line="400" w:lineRule="exact"/>
        <w:ind w:firstLine="3640" w:firstLineChars="1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E6E76"/>
    <w:rsid w:val="114E6E76"/>
    <w:rsid w:val="1BC763A8"/>
    <w:rsid w:val="37656B45"/>
    <w:rsid w:val="38D173E1"/>
    <w:rsid w:val="3B816125"/>
    <w:rsid w:val="59BD249C"/>
    <w:rsid w:val="6B7C5FE6"/>
    <w:rsid w:val="7A703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ind w:firstLine="420" w:firstLineChars="200"/>
    </w:pPr>
  </w:style>
  <w:style w:type="paragraph" w:styleId="3">
    <w:name w:val="Body Text Indent"/>
    <w:basedOn w:val="1"/>
    <w:qFormat/>
    <w:uiPriority w:val="0"/>
    <w:pPr>
      <w:ind w:firstLine="570"/>
    </w:pPr>
    <w:rPr>
      <w:rFonts w:ascii="宋体"/>
      <w:sz w:val="28"/>
      <w:szCs w:val="20"/>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3018</Words>
  <Characters>3138</Characters>
  <Lines>0</Lines>
  <Paragraphs>0</Paragraphs>
  <TotalTime>0</TotalTime>
  <ScaleCrop>false</ScaleCrop>
  <LinksUpToDate>false</LinksUpToDate>
  <CharactersWithSpaces>3206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2025-04-01T00:49:00Z</dcterms:created>
  <dc:creator>辛举帅</dc:creator>
  <cp:lastModifiedBy>辛举帅</cp:lastModifiedBy>
  <dcterms:modified xsi:type="dcterms:W3CDTF">2025-04-24T07:07:57Z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16E2A8E6F0A540EFB0FED8AD9B2030C4_11</vt:lpwstr>
  </property>
  <property fmtid="{D5CDD505-2E9C-101B-9397-08002B2CF9AE}" pid="4" name="KSOTemplateDocerSaveRecord">
    <vt:lpwstr>eyJoZGlkIjoiMjAzNWM4YjlmNWRkZGIxNWRiZWQ3Mjc0MjIzZDNjMzciLCJ1c2VySWQiOiI3NTA1NjczNDcifQ==</vt:lpwstr>
  </property>
</Properties>
</file>